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custom.xml" ContentType="application/vnd.openxmlformats-officedocument.custom-propertie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620C4" w:rsidRDefault="003658D9">
      <w:pPr>
        <w:tabs>
          <w:tab w:val="center" w:pos="4140"/>
          <w:tab w:val="center" w:pos="4320"/>
          <w:tab w:val="right" w:pos="8640"/>
        </w:tabs>
        <w:spacing w:after="0" w:line="276" w:lineRule="auto"/>
        <w:jc w:val="center"/>
        <w:rPr>
          <w:rFonts w:ascii="Palatino Linotype" w:hAnsi="Palatino Linotype" w:cs="Tahoma"/>
          <w:b/>
          <w:kern w:val="0"/>
          <w:lang w:val="en-US"/>
          <w14:ligatures w14:val="none"/>
        </w:rPr>
      </w:pPr>
      <w:r>
        <w:rPr>
          <w:rFonts w:ascii="Palatino Linotype" w:hAnsi="Palatino Linotype"/>
          <w:noProof/>
          <w:kern w:val="0"/>
          <w:lang w:eastAsia="el-GR"/>
          <w14:ligatures w14:val="none"/>
        </w:rPr>
        <w:drawing>
          <wp:inline distT="0" distB="0" distL="0" distR="0">
            <wp:extent cx="564515" cy="525145"/>
            <wp:effectExtent l="0" t="0" r="0" b="8255"/>
            <wp:docPr id="1" name="Picture 1" descr="[ÎµÎ¸Î½Î¿ÏƒÎ·Î¼Î¿.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ÎµÎ¸Î½Î¿ÏƒÎ·Î¼Î¿.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564515" cy="525145"/>
                    </a:xfrm>
                    <a:prstGeom prst="rect">
                      <a:avLst/>
                    </a:prstGeom>
                    <a:noFill/>
                    <a:ln>
                      <a:noFill/>
                    </a:ln>
                  </pic:spPr>
                </pic:pic>
              </a:graphicData>
            </a:graphic>
          </wp:inline>
        </w:drawing>
      </w:r>
    </w:p>
    <w:p w:rsidR="002620C4" w:rsidRPr="00573A63" w:rsidRDefault="003658D9">
      <w:pPr>
        <w:tabs>
          <w:tab w:val="center" w:pos="4320"/>
          <w:tab w:val="right" w:pos="8640"/>
        </w:tabs>
        <w:spacing w:after="0" w:line="276" w:lineRule="auto"/>
        <w:jc w:val="center"/>
        <w:rPr>
          <w:rFonts w:cstheme="minorHAnsi"/>
          <w:kern w:val="0"/>
          <w:sz w:val="24"/>
          <w:szCs w:val="24"/>
          <w14:ligatures w14:val="none"/>
        </w:rPr>
      </w:pPr>
      <w:r w:rsidRPr="00573A63">
        <w:rPr>
          <w:rFonts w:cstheme="minorHAnsi"/>
          <w:b/>
          <w:kern w:val="0"/>
          <w:sz w:val="24"/>
          <w:szCs w:val="24"/>
          <w14:ligatures w14:val="none"/>
        </w:rPr>
        <w:t>ΕΛΛΗΝΙΚΗ ΔΗΜΟΚΡΑΤΙΑ</w:t>
      </w:r>
    </w:p>
    <w:p w:rsidR="002620C4" w:rsidRPr="00573A63" w:rsidRDefault="003658D9">
      <w:pPr>
        <w:tabs>
          <w:tab w:val="center" w:pos="4320"/>
          <w:tab w:val="right" w:pos="8640"/>
        </w:tabs>
        <w:spacing w:after="0" w:line="276" w:lineRule="auto"/>
        <w:ind w:right="26"/>
        <w:jc w:val="center"/>
        <w:rPr>
          <w:rFonts w:cstheme="minorHAnsi"/>
          <w:b/>
          <w:bCs/>
          <w:kern w:val="0"/>
          <w:sz w:val="24"/>
          <w:szCs w:val="24"/>
          <w14:ligatures w14:val="none"/>
        </w:rPr>
      </w:pPr>
      <w:r w:rsidRPr="00573A63">
        <w:rPr>
          <w:rFonts w:cstheme="minorHAnsi"/>
          <w:b/>
          <w:bCs/>
          <w:kern w:val="0"/>
          <w:sz w:val="24"/>
          <w:szCs w:val="24"/>
          <w14:ligatures w14:val="none"/>
        </w:rPr>
        <w:t>ΥΠΟΥΡΓΕΙΟ ΠΟΛΙΤΙΣΜΟΥ</w:t>
      </w:r>
    </w:p>
    <w:p w:rsidR="002620C4" w:rsidRPr="00573A63" w:rsidRDefault="002620C4">
      <w:pPr>
        <w:tabs>
          <w:tab w:val="center" w:pos="4320"/>
          <w:tab w:val="right" w:pos="8640"/>
        </w:tabs>
        <w:spacing w:after="0" w:line="276" w:lineRule="auto"/>
        <w:jc w:val="center"/>
        <w:rPr>
          <w:rFonts w:cstheme="minorHAnsi"/>
          <w:kern w:val="0"/>
          <w:sz w:val="24"/>
          <w:szCs w:val="24"/>
          <w14:ligatures w14:val="none"/>
        </w:rPr>
      </w:pPr>
    </w:p>
    <w:p w:rsidR="002620C4" w:rsidRPr="00573A63" w:rsidRDefault="003658D9" w:rsidP="00573A63">
      <w:pPr>
        <w:spacing w:line="276" w:lineRule="auto"/>
        <w:jc w:val="center"/>
        <w:rPr>
          <w:rFonts w:cstheme="minorHAnsi"/>
          <w:b/>
          <w:kern w:val="0"/>
          <w:sz w:val="24"/>
          <w:szCs w:val="24"/>
          <w14:ligatures w14:val="none"/>
        </w:rPr>
      </w:pPr>
      <w:r w:rsidRPr="00573A63">
        <w:rPr>
          <w:rFonts w:cstheme="minorHAnsi"/>
          <w:b/>
          <w:kern w:val="0"/>
          <w:sz w:val="24"/>
          <w:szCs w:val="24"/>
          <w14:ligatures w14:val="none"/>
        </w:rPr>
        <w:t>Τοποθέτηση της Υπουργού Πολιτισμού Δρος Λίνας Μενδώνη στην κοινή Συνέντευξη Τύπου των Υπουργείων Πολιτισμού και Περιβάλλοντος &amp; Ενέργειας για την παρουσίαση τεσσάρων μελετών αποκατάστασης του π. βασιλικού κτήματος Τατοΐου, Τρίτη 6 Φεβρουαρίου 2024</w:t>
      </w:r>
    </w:p>
    <w:p w:rsidR="002620C4" w:rsidRPr="00573A63" w:rsidRDefault="002620C4" w:rsidP="00573A63">
      <w:pPr>
        <w:spacing w:line="276" w:lineRule="auto"/>
        <w:rPr>
          <w:rFonts w:cstheme="minorHAnsi"/>
          <w:sz w:val="24"/>
          <w:szCs w:val="24"/>
        </w:rPr>
      </w:pPr>
    </w:p>
    <w:p w:rsidR="002620C4" w:rsidRPr="00573A63" w:rsidRDefault="003658D9" w:rsidP="00573A63">
      <w:pPr>
        <w:spacing w:line="276" w:lineRule="auto"/>
        <w:jc w:val="both"/>
        <w:rPr>
          <w:rFonts w:cstheme="minorHAnsi"/>
          <w:sz w:val="24"/>
          <w:szCs w:val="24"/>
        </w:rPr>
      </w:pPr>
      <w:r w:rsidRPr="00573A63">
        <w:rPr>
          <w:rFonts w:cstheme="minorHAnsi"/>
          <w:sz w:val="24"/>
          <w:szCs w:val="24"/>
        </w:rPr>
        <w:t>Σας ευχαριστώ για τη σημερινή σας παρουσία σε αυτήν την κοινή Συνέντευξη Τύπου των Υπουργείων Πολιτισμού και Περιβάλλοντος &amp; Ενέργειας, αντικείμενο της οποίας είναι η παρουσίαση τεσσάρων μελετών και αντίστοιχων έργων, που υλοποιήθηκαν στο πλαίσιο του προγράμματος αποκατάστασης και αξιοποίησης του π. βασιλικού κτήματος Τατοΐου.</w:t>
      </w:r>
    </w:p>
    <w:p w:rsidR="002620C4" w:rsidRPr="00573A63" w:rsidRDefault="003658D9" w:rsidP="00573A63">
      <w:pPr>
        <w:spacing w:line="276" w:lineRule="auto"/>
        <w:jc w:val="both"/>
        <w:rPr>
          <w:rFonts w:cstheme="minorHAnsi"/>
          <w:sz w:val="24"/>
          <w:szCs w:val="24"/>
        </w:rPr>
      </w:pPr>
      <w:r w:rsidRPr="00573A63">
        <w:rPr>
          <w:rFonts w:cstheme="minorHAnsi"/>
          <w:sz w:val="24"/>
          <w:szCs w:val="24"/>
        </w:rPr>
        <w:t>Όπως όλοι καλά γνωρίζετε, τα έργα ανάπλασης, που υλοποιούνται συστηματικά και εντός συγκεκριμένου χρονοδιαγράμματος τα τελευταία χρόνια στο Τατόι, εντάσσονται στο πλαίσιο ολοκληρωμένου σχεδίου για τη μετατροπή του έως πρότινος εγκαταλελειμμένου κτήματος – που περιλαμβάνει δασική έκταση 42.000 στρεμμάτων αποτελούμενη από ιστορικό πυρήνα 1600 στρεμμάτων και περίπου 1200 στρέμματα καλλιεργειών – σε ενιαίο και πολυθεματικό περιαστικό χώρο Πρασίνου και πόλο πολλαπλών δραστηριοτήτων ψυχαγωγίας, αναψυχής, ιστορικής μνήμης, πολιτισμού, εκπαίδευσης, περιβαλλοντικής αγωγής και γνώσης. Ο στόχος αυτός προωθείται μέσω φιλικών προς το περιβάλλον υποδομών και παρεμβάσεων εντός του προστατευόμενου φυσικού τοπίου, που θα το καταστήσουν και θα το διατηρήσουν ελκυστικό για όλες τις κατηγορίες πολιτών και καθ’ όλη την διάρκεια του έτους, κατά τρόπο που θα αξιοποιεί πλήρως την πολιτιστική και κοινωνική αναπτυξιακή δυναμική του ενώ θα σέβεται και θα προστατεύει τον ιστορικό του χαρακτήρα και το φυσικό περιβάλλον, εξασφαλίζοντας παράλληλα τη μακροπρόθεσμη οικονομική του βιωσιμότητα και αειφορία.</w:t>
      </w:r>
    </w:p>
    <w:p w:rsidR="002620C4" w:rsidRPr="00573A63" w:rsidRDefault="003658D9" w:rsidP="00573A63">
      <w:pPr>
        <w:spacing w:line="276" w:lineRule="auto"/>
        <w:jc w:val="both"/>
        <w:rPr>
          <w:rFonts w:cstheme="minorHAnsi"/>
          <w:sz w:val="24"/>
          <w:szCs w:val="24"/>
        </w:rPr>
      </w:pPr>
      <w:r w:rsidRPr="00573A63">
        <w:rPr>
          <w:rFonts w:cstheme="minorHAnsi"/>
          <w:sz w:val="24"/>
          <w:szCs w:val="24"/>
        </w:rPr>
        <w:t xml:space="preserve">Για τη χρηματοδότηση του εμβληματικού αυτού έργου για την Κυβέρνηση του Κυριάκου Μητσοτάκη, το Υπουργείο Πολιτισμού αξιοποιεί όλους τους διαθέσιμους εθνικούς και ευρωπαϊκούς πόρους, έχοντας διασφαλίσει περ. 49 εκ. € από το Ταμείο Ανάκαμψης και Ανθεκτικότητας, 9.2 εκ. € από το ΕΣΠΑ 2014-2020, 1.2 εκ. € από το Εθνικό Πρόγραμμα Δημοσίων Επενδύσεων, καθώς και αντίστοιχο ποσό κατ’ έτος από τον Τακτικό Προϋπολογισμό του ΥΠΠΟ για έργα και μελέτες στο πλαίσιο Μνημονίων Συνεργασίας με διαφόρους ερευνητικούς φορείς. </w:t>
      </w:r>
    </w:p>
    <w:p w:rsidR="002620C4" w:rsidRPr="00573A63" w:rsidRDefault="003658D9" w:rsidP="00573A63">
      <w:pPr>
        <w:spacing w:line="276" w:lineRule="auto"/>
        <w:jc w:val="both"/>
        <w:rPr>
          <w:rFonts w:cstheme="minorHAnsi"/>
          <w:sz w:val="24"/>
          <w:szCs w:val="24"/>
        </w:rPr>
      </w:pPr>
      <w:r w:rsidRPr="00573A63">
        <w:rPr>
          <w:rFonts w:cstheme="minorHAnsi"/>
          <w:sz w:val="24"/>
          <w:szCs w:val="24"/>
        </w:rPr>
        <w:t>Ήδη, στο πλαίσιο των επιμέρους εργασιών εκτελούνται 17 εργολαβίες και 9 αυτεπιστασίες από πέντε Υπηρεσίες του Υπουργείου Πολιτισμού με προσωπικό 93 υπαλλήλων του ΥΠΠΟ, που αφορούν σε 37 κτήρια πολιτιστικού χαρακτήρα συνολικού εμβαδού περ. 8.500 τ.μ., χρονικού ορίζοντα ολοκλήρωσης στο τέλος του 2025. Στις εργασίες επιστημονικής τεκμηρίωσης συνδράμουν επίσης πολυάριθμοι επιστημονικοί φορείς και ερευνητές.</w:t>
      </w:r>
    </w:p>
    <w:p w:rsidR="002620C4" w:rsidRPr="00573A63" w:rsidRDefault="003658D9" w:rsidP="00573A63">
      <w:pPr>
        <w:spacing w:line="276" w:lineRule="auto"/>
        <w:jc w:val="both"/>
        <w:rPr>
          <w:rFonts w:cstheme="minorHAnsi"/>
          <w:sz w:val="24"/>
          <w:szCs w:val="24"/>
        </w:rPr>
      </w:pPr>
      <w:r w:rsidRPr="00573A63">
        <w:rPr>
          <w:rFonts w:cstheme="minorHAnsi"/>
          <w:sz w:val="24"/>
          <w:szCs w:val="24"/>
        </w:rPr>
        <w:t xml:space="preserve">Παράλληλα, εξαιρετικά σημαντική – καθοριστική σε ορισμένες περιπτώσεις, ειδικά ως προς την αμεσότητα και ταχύτητα αντιμετώπισης συγκεκριμένων αναγκών – υπήρξε και συνεχίζει να είναι η </w:t>
      </w:r>
      <w:r w:rsidRPr="00573A63">
        <w:rPr>
          <w:rFonts w:cstheme="minorHAnsi"/>
          <w:sz w:val="24"/>
          <w:szCs w:val="24"/>
        </w:rPr>
        <w:lastRenderedPageBreak/>
        <w:t>συνδρομή των ιδιωτών χορηγών μας ΑΜΚΕ «Αιγέας» του Θανάση και της Μαρίνας Μαρτίνου και το Ίδρυμα του Αθανασίου Λασκαρίδη.</w:t>
      </w:r>
    </w:p>
    <w:p w:rsidR="002620C4" w:rsidRPr="00573A63" w:rsidRDefault="003658D9" w:rsidP="00573A63">
      <w:pPr>
        <w:spacing w:line="276" w:lineRule="auto"/>
        <w:jc w:val="both"/>
        <w:rPr>
          <w:rFonts w:cstheme="minorHAnsi"/>
          <w:sz w:val="24"/>
          <w:szCs w:val="24"/>
        </w:rPr>
      </w:pPr>
      <w:r w:rsidRPr="00573A63">
        <w:rPr>
          <w:rFonts w:cstheme="minorHAnsi"/>
          <w:sz w:val="24"/>
          <w:szCs w:val="24"/>
        </w:rPr>
        <w:t>Θα παρουσιαστούν:</w:t>
      </w:r>
    </w:p>
    <w:p w:rsidR="002620C4" w:rsidRPr="00573A63" w:rsidRDefault="003658D9" w:rsidP="00573A63">
      <w:pPr>
        <w:spacing w:line="276" w:lineRule="auto"/>
        <w:jc w:val="both"/>
        <w:rPr>
          <w:rFonts w:cstheme="minorHAnsi"/>
          <w:sz w:val="24"/>
          <w:szCs w:val="24"/>
        </w:rPr>
      </w:pPr>
      <w:r w:rsidRPr="00573A63">
        <w:rPr>
          <w:rFonts w:cstheme="minorHAnsi"/>
          <w:sz w:val="24"/>
          <w:szCs w:val="24"/>
        </w:rPr>
        <w:t>Από πλευράς του Υπουργείου Πολιτισμού</w:t>
      </w:r>
    </w:p>
    <w:p w:rsidR="002620C4" w:rsidRPr="00573A63" w:rsidRDefault="003658D9" w:rsidP="00573A63">
      <w:pPr>
        <w:pStyle w:val="a3"/>
        <w:numPr>
          <w:ilvl w:val="0"/>
          <w:numId w:val="1"/>
        </w:numPr>
        <w:spacing w:line="276" w:lineRule="auto"/>
        <w:jc w:val="both"/>
        <w:rPr>
          <w:rFonts w:cstheme="minorHAnsi"/>
          <w:sz w:val="24"/>
          <w:szCs w:val="24"/>
        </w:rPr>
      </w:pPr>
      <w:r w:rsidRPr="00573A63">
        <w:rPr>
          <w:rFonts w:cstheme="minorHAnsi"/>
          <w:sz w:val="24"/>
          <w:szCs w:val="24"/>
        </w:rPr>
        <w:t>Η μελέτη συντήρησης και τα έργα αποκατάστασης και ανάδειξης του Ι.Ν. της Αναστάσεως, του βασιλικού μαυσωλείου και του κοιμητηρίου επί του λόφου Παλαιόκαστρο.</w:t>
      </w:r>
    </w:p>
    <w:p w:rsidR="002620C4" w:rsidRPr="00573A63" w:rsidRDefault="003658D9" w:rsidP="00573A63">
      <w:pPr>
        <w:pStyle w:val="a3"/>
        <w:numPr>
          <w:ilvl w:val="0"/>
          <w:numId w:val="1"/>
        </w:numPr>
        <w:spacing w:line="276" w:lineRule="auto"/>
        <w:jc w:val="both"/>
        <w:rPr>
          <w:rFonts w:cstheme="minorHAnsi"/>
          <w:sz w:val="24"/>
          <w:szCs w:val="24"/>
        </w:rPr>
      </w:pPr>
      <w:r w:rsidRPr="00573A63">
        <w:rPr>
          <w:rFonts w:cstheme="minorHAnsi"/>
          <w:sz w:val="24"/>
          <w:szCs w:val="24"/>
        </w:rPr>
        <w:t>Η μελέτη αποκατάστασης και ανάδειξης των κήπων του κύριου ανακτορικού συγκροτήματος. Το έργο έχει ήδη δημοπρατηθεί. Χρηματοδοτείται με 3.000.000 ευρώ από το ΤΑΑ και αναμένεται ανάδοχος ως το τέλος του μηνός.</w:t>
      </w:r>
    </w:p>
    <w:p w:rsidR="002620C4" w:rsidRPr="00573A63" w:rsidRDefault="003658D9" w:rsidP="00573A63">
      <w:pPr>
        <w:spacing w:line="276" w:lineRule="auto"/>
        <w:jc w:val="both"/>
        <w:rPr>
          <w:rFonts w:cstheme="minorHAnsi"/>
          <w:sz w:val="24"/>
          <w:szCs w:val="24"/>
        </w:rPr>
      </w:pPr>
      <w:r w:rsidRPr="00573A63">
        <w:rPr>
          <w:rFonts w:cstheme="minorHAnsi"/>
          <w:sz w:val="24"/>
          <w:szCs w:val="24"/>
        </w:rPr>
        <w:t>Στο λόφο Παλαιόκαστρο, εντός του κτήματος Τατοΐου, ιδρύθηκε από τις αρχές της δεκαετίας του 1880 το κοιμητήριο της Βασιλικής Οικογένειας, στο οποίο εν συνεχεία ανεγέρθηκε ο Ι.Ν. της Αναστάσεως. Λίγο πριν από το Β’ Παγκόσμιο Πόλεμο κατασκευάστηκε το Βασιλικό Μαυσωλείο. Η καθ’ ύλην αρμόδια Διεύθυνση Συντήρησης Αρχαίων και Νεωτέρων Μνημείων του ΥΠΠΟ εκπόνησε</w:t>
      </w:r>
      <w:bookmarkStart w:id="0" w:name="_Hlk157695135"/>
      <w:r w:rsidRPr="00573A63">
        <w:rPr>
          <w:rFonts w:cstheme="minorHAnsi"/>
          <w:sz w:val="24"/>
          <w:szCs w:val="24"/>
        </w:rPr>
        <w:t xml:space="preserve"> </w:t>
      </w:r>
      <w:bookmarkEnd w:id="0"/>
      <w:r w:rsidRPr="00573A63">
        <w:rPr>
          <w:rFonts w:cstheme="minorHAnsi"/>
          <w:sz w:val="24"/>
          <w:szCs w:val="24"/>
        </w:rPr>
        <w:t>τις μελέτες συντήρησης του διακόσμου του ναού της Αναστάσεως, του μαυσωλείου και των ταφικών μνημείων, ενώ παράλληλα υλοποίησε τις επεμβάσεις συντήρησης, οι οποίες θα παρουσιαστούν ακολούθως. Το έργο της αποκατάστασης του Μαυσωλείου είναι σε εξέλιξη.</w:t>
      </w:r>
    </w:p>
    <w:p w:rsidR="002620C4" w:rsidRPr="00573A63" w:rsidRDefault="003658D9" w:rsidP="00573A63">
      <w:pPr>
        <w:spacing w:line="276" w:lineRule="auto"/>
        <w:jc w:val="both"/>
        <w:rPr>
          <w:rFonts w:cstheme="minorHAnsi"/>
          <w:sz w:val="24"/>
          <w:szCs w:val="24"/>
        </w:rPr>
      </w:pPr>
      <w:r w:rsidRPr="00573A63">
        <w:rPr>
          <w:rFonts w:cstheme="minorHAnsi"/>
          <w:sz w:val="24"/>
          <w:szCs w:val="24"/>
        </w:rPr>
        <w:t>Η διαμόρφωση των κήπων ξεκίνησε αμέσως μετά την αγορά του κτήματος από τον Γεώργιο Α’ το 1872 και εξελίχθηκε παράλληλα με την οικοδόμηση του Ανακτόρου. Το 1886 ολοκληρώθηκε το Ανάκτορο και το 1890 οι κήποι. Οι κήποι διαμορφώθηκαν στη νότια πλευρά του Ανακτόρου με θέα προς τον ελαιώνα, την Αθήνα και τον Σαρωνικό. Διπλή πλατιά μαρμάρινη σκάλα σε συμμετρική διάταξη οδηγεί στην κατώτερη στάθμη των κήπων. Ανάμεσα στις δύο κλίμακες διαμορφώνεται τεχνητός σπηλαιώδης χώρος (grotto). Από τη στάθμη αυτή και κάτω, διαμορφώνεται η κεντρική αλέα των κήπων και εκατέρωθεν, μονοπάτια σε διάταξη με ομόκεντρους κύκλους. Το 1916 ξέσπασε η πρώτη μεγάλη πυρκαγιά που έπληξε το κτήμα, από την οποία διασώθηκαν το Ανάκτορο και οι κήποι. Το 1924-1926 ξεκίνησε η εφαρμογή δεκαετούς προγράμματος αναμόρφωσης και διαχείρισης των κήπων από την Ανωτέρα Δασολογική και Ανωτέρα Γεωπονική Σχολή. Τη δεκαετία του 50 έγινε η προσθήκη της κολυμβητικής δεξαμενής. Μετά την κατάργηση της βασιλείας στην Ελλάδα και την απαλλοτρίωση της βασιλικής περιουσίας μαζί με την επιμέλεια του Ανακτόρου διακόπηκε και αυτή των κήπων που δασώθηκαν. Αυτό είχε ως αποτέλεσμα η δεύτερη μεγάλη πυρκαγιά του 2021 να συμπαρασύρει την καταστροφή τους μαζί με αυτή μεγάλου μέρους του υπόλοιπου δασικού μέρους του κτήματος.</w:t>
      </w:r>
    </w:p>
    <w:p w:rsidR="002620C4" w:rsidRPr="00573A63" w:rsidRDefault="003658D9" w:rsidP="00573A63">
      <w:pPr>
        <w:spacing w:line="276" w:lineRule="auto"/>
        <w:jc w:val="both"/>
        <w:rPr>
          <w:rFonts w:cstheme="minorHAnsi"/>
          <w:sz w:val="24"/>
          <w:szCs w:val="24"/>
        </w:rPr>
      </w:pPr>
      <w:r w:rsidRPr="00573A63">
        <w:rPr>
          <w:rFonts w:cstheme="minorHAnsi"/>
          <w:sz w:val="24"/>
          <w:szCs w:val="24"/>
        </w:rPr>
        <w:t>Η μελέτη αποκατάστασης των κήπων πραγματοποιήθηκε από τους αρχιτέκτονες τοπίου Ε. Παγκάλου και τους συνεργάτες της, λαμβάνοντας υπόψη όλα τα δεδομένα σχεδιασμού του έργου, την Ιστορική τεκμηρίωση και Υφιστάμενη κατάσταση, το ανάγλυφο και τη βλάστηση της περιοχής καθώς και τα κλιματικά δεδομένα, με έμφαση στη βιωσιμότητα και ανθεκτικότητα του τοπίου. Βασική παράμετρος σχεδιασμού υπήρξε το θεσμικό πλαίσιο για τη διατήρηση και αποκατάσταση ιστορικών κήπων όπως αυτό περιγράφεται στην Χάρτα της Φλωρεντίας (1982). Η κυρία Παγκάλου θα αναφερθεί εν συνεχεία αναλυτικότερα στις βασικές αρχές, τους στόχους και τις επιμέρους παραμέτρους της μελέτης αυτής.</w:t>
      </w:r>
    </w:p>
    <w:p w:rsidR="002620C4" w:rsidRPr="00573A63" w:rsidRDefault="003658D9" w:rsidP="00573A63">
      <w:pPr>
        <w:spacing w:line="276" w:lineRule="auto"/>
        <w:jc w:val="both"/>
        <w:rPr>
          <w:rFonts w:cstheme="minorHAnsi"/>
          <w:sz w:val="24"/>
          <w:szCs w:val="24"/>
        </w:rPr>
      </w:pPr>
      <w:r w:rsidRPr="00573A63">
        <w:rPr>
          <w:rFonts w:cstheme="minorHAnsi"/>
          <w:sz w:val="24"/>
          <w:szCs w:val="24"/>
        </w:rPr>
        <w:lastRenderedPageBreak/>
        <w:t>Εκ μέρους του Υπουργείου Περιβάλλοντος και Ενέργειας, θα παρουσιαστούν:</w:t>
      </w:r>
    </w:p>
    <w:p w:rsidR="002620C4" w:rsidRPr="00573A63" w:rsidRDefault="003658D9" w:rsidP="00573A63">
      <w:pPr>
        <w:pStyle w:val="a3"/>
        <w:numPr>
          <w:ilvl w:val="0"/>
          <w:numId w:val="1"/>
        </w:numPr>
        <w:spacing w:line="276" w:lineRule="auto"/>
        <w:jc w:val="both"/>
        <w:rPr>
          <w:rFonts w:cstheme="minorHAnsi"/>
          <w:sz w:val="24"/>
          <w:szCs w:val="24"/>
        </w:rPr>
      </w:pPr>
      <w:r w:rsidRPr="00573A63">
        <w:rPr>
          <w:rFonts w:cstheme="minorHAnsi"/>
          <w:sz w:val="24"/>
          <w:szCs w:val="24"/>
        </w:rPr>
        <w:t>Από τον Θ. Δοξιάδη η μελέτη αποκ</w:t>
      </w:r>
      <w:bookmarkStart w:id="1" w:name="_GoBack"/>
      <w:bookmarkEnd w:id="1"/>
      <w:r w:rsidRPr="00573A63">
        <w:rPr>
          <w:rFonts w:cstheme="minorHAnsi"/>
          <w:sz w:val="24"/>
          <w:szCs w:val="24"/>
        </w:rPr>
        <w:t xml:space="preserve">ατάστασης της περιβάλλουσας βλάστησης και της ανάδειξης του βασιλικού κοιμητηρίου, </w:t>
      </w:r>
    </w:p>
    <w:p w:rsidR="002620C4" w:rsidRPr="00573A63" w:rsidRDefault="003658D9" w:rsidP="00573A63">
      <w:pPr>
        <w:pStyle w:val="a3"/>
        <w:numPr>
          <w:ilvl w:val="0"/>
          <w:numId w:val="1"/>
        </w:numPr>
        <w:spacing w:line="276" w:lineRule="auto"/>
        <w:jc w:val="both"/>
        <w:rPr>
          <w:rFonts w:cstheme="minorHAnsi"/>
          <w:sz w:val="24"/>
          <w:szCs w:val="24"/>
        </w:rPr>
      </w:pPr>
      <w:r w:rsidRPr="00573A63">
        <w:rPr>
          <w:rFonts w:cstheme="minorHAnsi"/>
          <w:sz w:val="24"/>
          <w:szCs w:val="24"/>
        </w:rPr>
        <w:t>Από τον Ε. Γκουντούφα, Γενικό Διευθυντή του ΥΠΕΝ η μελέτη, τα έργα και οι δράσεις αποκατάστασης του Δασικού Οικοσυστήματος και του φυσικού τοπίου που περιβάλλει τον ιστορικό πυρήνα έκτασης 16.000 στρεμμάτων.</w:t>
      </w:r>
    </w:p>
    <w:p w:rsidR="002620C4" w:rsidRPr="00573A63" w:rsidRDefault="003658D9" w:rsidP="00573A63">
      <w:pPr>
        <w:spacing w:line="276" w:lineRule="auto"/>
        <w:jc w:val="both"/>
        <w:rPr>
          <w:rFonts w:cstheme="minorHAnsi"/>
          <w:sz w:val="24"/>
          <w:szCs w:val="24"/>
        </w:rPr>
      </w:pPr>
      <w:r w:rsidRPr="00573A63">
        <w:rPr>
          <w:rFonts w:cstheme="minorHAnsi"/>
          <w:sz w:val="24"/>
          <w:szCs w:val="24"/>
        </w:rPr>
        <w:t>Στα θέματα αρμοδιότητας του Υπουργείου Περιβάλλοντος και Ενέργειας θα αναφερθεί αναλυτικότερα ο Υπουργός κ. Θόδωρος Σκυλακάκης, τον οποίο καλώ να λάβει το λόγο.</w:t>
      </w:r>
    </w:p>
    <w:sectPr w:rsidR="002620C4" w:rsidRPr="00573A63">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5700C" w:rsidRDefault="00B5700C">
      <w:pPr>
        <w:spacing w:line="240" w:lineRule="auto"/>
      </w:pPr>
      <w:r>
        <w:separator/>
      </w:r>
    </w:p>
  </w:endnote>
  <w:endnote w:type="continuationSeparator" w:id="0">
    <w:p w:rsidR="00B5700C" w:rsidRDefault="00B5700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Palatino Linotype">
    <w:panose1 w:val="02040502050505030304"/>
    <w:charset w:val="A1"/>
    <w:family w:val="roman"/>
    <w:pitch w:val="variable"/>
    <w:sig w:usb0="E0000287" w:usb1="40000013" w:usb2="00000000" w:usb3="00000000" w:csb0="0000019F" w:csb1="00000000"/>
  </w:font>
  <w:font w:name="Tahoma">
    <w:panose1 w:val="020B0604030504040204"/>
    <w:charset w:val="A1"/>
    <w:family w:val="swiss"/>
    <w:pitch w:val="variable"/>
    <w:sig w:usb0="E1002EFF" w:usb1="C000605B" w:usb2="00000029" w:usb3="00000000" w:csb0="0001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A1"/>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5700C" w:rsidRDefault="00B5700C">
      <w:pPr>
        <w:spacing w:after="0"/>
      </w:pPr>
      <w:r>
        <w:separator/>
      </w:r>
    </w:p>
  </w:footnote>
  <w:footnote w:type="continuationSeparator" w:id="0">
    <w:p w:rsidR="00B5700C" w:rsidRDefault="00B5700C">
      <w:pPr>
        <w:spacing w:after="0"/>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DB8722B"/>
    <w:multiLevelType w:val="multilevel"/>
    <w:tmpl w:val="3DB8722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67D7"/>
    <w:rsid w:val="00023F1B"/>
    <w:rsid w:val="000D265B"/>
    <w:rsid w:val="002278A7"/>
    <w:rsid w:val="002620C4"/>
    <w:rsid w:val="002823B7"/>
    <w:rsid w:val="002A34FD"/>
    <w:rsid w:val="002B347C"/>
    <w:rsid w:val="002D5B31"/>
    <w:rsid w:val="00322BE3"/>
    <w:rsid w:val="00362B40"/>
    <w:rsid w:val="003658D9"/>
    <w:rsid w:val="003A3413"/>
    <w:rsid w:val="003F4CD7"/>
    <w:rsid w:val="004367D7"/>
    <w:rsid w:val="0045041F"/>
    <w:rsid w:val="004744DA"/>
    <w:rsid w:val="004D29D5"/>
    <w:rsid w:val="005447B9"/>
    <w:rsid w:val="005664A9"/>
    <w:rsid w:val="00573A63"/>
    <w:rsid w:val="005773BA"/>
    <w:rsid w:val="005E033B"/>
    <w:rsid w:val="00636B13"/>
    <w:rsid w:val="00656FCF"/>
    <w:rsid w:val="00676A21"/>
    <w:rsid w:val="006B123D"/>
    <w:rsid w:val="00701746"/>
    <w:rsid w:val="007565C5"/>
    <w:rsid w:val="007956A0"/>
    <w:rsid w:val="007C59CA"/>
    <w:rsid w:val="007E0CFE"/>
    <w:rsid w:val="00827991"/>
    <w:rsid w:val="00832FBB"/>
    <w:rsid w:val="00835493"/>
    <w:rsid w:val="008413EB"/>
    <w:rsid w:val="00857A8F"/>
    <w:rsid w:val="008D4775"/>
    <w:rsid w:val="00913ED8"/>
    <w:rsid w:val="009C407E"/>
    <w:rsid w:val="00A02851"/>
    <w:rsid w:val="00A25647"/>
    <w:rsid w:val="00A554D9"/>
    <w:rsid w:val="00A87590"/>
    <w:rsid w:val="00AA5586"/>
    <w:rsid w:val="00B339C2"/>
    <w:rsid w:val="00B5700C"/>
    <w:rsid w:val="00C17D2C"/>
    <w:rsid w:val="00C8478A"/>
    <w:rsid w:val="00CE3DF7"/>
    <w:rsid w:val="00D76156"/>
    <w:rsid w:val="00D86268"/>
    <w:rsid w:val="00D938C4"/>
    <w:rsid w:val="00DB70B3"/>
    <w:rsid w:val="00DD2AD5"/>
    <w:rsid w:val="00E34B72"/>
    <w:rsid w:val="00E42D59"/>
    <w:rsid w:val="00E474D3"/>
    <w:rsid w:val="00E70437"/>
    <w:rsid w:val="00E8074B"/>
    <w:rsid w:val="00E80A48"/>
    <w:rsid w:val="00ED2830"/>
    <w:rsid w:val="00EF7244"/>
    <w:rsid w:val="00F756AF"/>
    <w:rsid w:val="00F81DED"/>
    <w:rsid w:val="00FC1747"/>
    <w:rsid w:val="00FE57DE"/>
    <w:rsid w:val="00FF59B8"/>
    <w:rsid w:val="0CFA7D01"/>
    <w:rsid w:val="42B321A6"/>
  </w:rsids>
  <m:mathPr>
    <m:mathFont m:val="Cambria Math"/>
    <m:brkBin m:val="before"/>
    <m:brkBinSub m:val="--"/>
    <m:smallFrac m:val="0"/>
    <m:dispDef/>
    <m:lMargin m:val="0"/>
    <m:rMargin m:val="0"/>
    <m:defJc m:val="centerGroup"/>
    <m:wrapIndent m:val="1440"/>
    <m:intLim m:val="subSup"/>
    <m:naryLim m:val="undOvr"/>
  </m:mathPr>
  <w:themeFontLang w:val="el-GR"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D1DAF48-138B-4C47-A093-C26A608462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lang w:val="el-GR" w:eastAsia="el-G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60" w:line="259" w:lineRule="auto"/>
    </w:pPr>
    <w:rPr>
      <w:kern w:val="2"/>
      <w:sz w:val="22"/>
      <w:szCs w:val="22"/>
      <w:lang w:eastAsia="en-US"/>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Έγγραφο" ma:contentTypeID="0x01010083D890F2F5BE644981A254C8A4FE6820" ma:contentTypeVersion="2" ma:contentTypeDescription="Δημιουργία νέου εγγράφου" ma:contentTypeScope="" ma:versionID="748270d2cbceea4360e2bc69a630223f">
  <xsd:schema xmlns:xsd="http://www.w3.org/2001/XMLSchema" xmlns:xs="http://www.w3.org/2001/XMLSchema" xmlns:p="http://schemas.microsoft.com/office/2006/metadata/properties" xmlns:ns2="28739273-0ef8-42a0-9c4e-0f58e209f86f" targetNamespace="http://schemas.microsoft.com/office/2006/metadata/properties" ma:root="true" ma:fieldsID="d7e8c35e4a992cb64f8e3bf15b418df6" ns2:_="">
    <xsd:import namespace="28739273-0ef8-42a0-9c4e-0f58e209f86f"/>
    <xsd:element name="properties">
      <xsd:complexType>
        <xsd:sequence>
          <xsd:element name="documentManagement">
            <xsd:complexType>
              <xsd:all>
                <xsd:element ref="ns2:Process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739273-0ef8-42a0-9c4e-0f58e209f86f" elementFormDefault="qualified">
    <xsd:import namespace="http://schemas.microsoft.com/office/2006/documentManagement/types"/>
    <xsd:import namespace="http://schemas.microsoft.com/office/infopath/2007/PartnerControls"/>
    <xsd:element name="Processed" ma:index="8" nillable="true" ma:displayName="Processed" ma:default="0" ma:internalName="Process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rocessed xmlns="28739273-0ef8-42a0-9c4e-0f58e209f86f">false</Processed>
  </documentManagement>
</p:properties>
</file>

<file path=customXml/itemProps1.xml><?xml version="1.0" encoding="utf-8"?>
<ds:datastoreItem xmlns:ds="http://schemas.openxmlformats.org/officeDocument/2006/customXml" ds:itemID="{D7C89ED9-B999-4E9D-98E3-49A5494BD701}"/>
</file>

<file path=customXml/itemProps2.xml><?xml version="1.0" encoding="utf-8"?>
<ds:datastoreItem xmlns:ds="http://schemas.openxmlformats.org/officeDocument/2006/customXml" ds:itemID="{67E3E20D-3429-4B04-B571-E1E8F9139379}"/>
</file>

<file path=customXml/itemProps3.xml><?xml version="1.0" encoding="utf-8"?>
<ds:datastoreItem xmlns:ds="http://schemas.openxmlformats.org/officeDocument/2006/customXml" ds:itemID="{AE1C0D4D-3DD3-4F4F-A2CB-649C7FFEC359}"/>
</file>

<file path=docProps/app.xml><?xml version="1.0" encoding="utf-8"?>
<Properties xmlns="http://schemas.openxmlformats.org/officeDocument/2006/extended-properties" xmlns:vt="http://schemas.openxmlformats.org/officeDocument/2006/docPropsVTypes">
  <Template>Normal</Template>
  <TotalTime>0</TotalTime>
  <Pages>3</Pages>
  <Words>1007</Words>
  <Characters>5444</Characters>
  <Application>Microsoft Office Word</Application>
  <DocSecurity>0</DocSecurity>
  <Lines>45</Lines>
  <Paragraphs>12</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6439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Τοποθέτηση της Υπουργού Πολιτισμού Δρος Λίνας Μενδώνη στην κοινή Συνέντευξη Τύπου των Υπουργείων Πολιτισμού και Περιβάλλοντος και Ενέργειας </dc:title>
  <dc:creator>Nikos Kassavetis</dc:creator>
  <cp:lastModifiedBy>Ελευθερία Πελτέκη</cp:lastModifiedBy>
  <cp:revision>2</cp:revision>
  <dcterms:created xsi:type="dcterms:W3CDTF">2024-02-06T12:58:00Z</dcterms:created>
  <dcterms:modified xsi:type="dcterms:W3CDTF">2024-02-06T12:58:00Z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1033-12.2.0.13431</vt:lpwstr>
  </property>
  <property fmtid="{D5CDD505-2E9C-101B-9397-08002B2CF9AE}" pid="3" name="ICV">
    <vt:lpwstr>905DA1B73F1D4918AFCB575C100D48B3_13</vt:lpwstr>
  </property>
  <property fmtid="{D5CDD505-2E9C-101B-9397-08002B2CF9AE}" pid="4" name="ContentTypeId">
    <vt:lpwstr>0x01010083D890F2F5BE644981A254C8A4FE6820</vt:lpwstr>
  </property>
</Properties>
</file>